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56" w:rsidRPr="00D22B56" w:rsidRDefault="00D22B56" w:rsidP="00D22B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22B56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D22B56" w:rsidRPr="00D22B56" w:rsidRDefault="00D22B56" w:rsidP="00D22B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22B56">
        <w:rPr>
          <w:rFonts w:ascii="Tahoma" w:eastAsia="Times New Roman" w:hAnsi="Tahoma" w:cs="Tahoma"/>
          <w:sz w:val="21"/>
          <w:szCs w:val="21"/>
          <w:lang w:eastAsia="ru-RU"/>
        </w:rPr>
        <w:t>для закупки №0318300489516000008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D22B56" w:rsidRPr="00D22B56" w:rsidTr="00D22B56">
        <w:tc>
          <w:tcPr>
            <w:tcW w:w="2000" w:type="pct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0318300489516000008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спортивно-игровой площадки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Сбербанк-АСТ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Старомышастовское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сельское поселение в составе муниципального образования Динской район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353220, Краснодарский край, Динской р-н,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Красная, 133, -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353220, Краснодарский край, Динской р-н,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Красная, 133, -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Кныш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staromishastovskaysp@rambler.ru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7-86162-75323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09.09.2016 09:39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26.09.2016 09:00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«Интернет», указанному в позиции 12 настоящего Раздела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3 «Порядок подачи заявок на участие в электронном аукционе»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28.09.2016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03.10.2016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4843000.00 Российский рубль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Краснодарского края; Бюджет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Старомышастовского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сельского поселения; Федеральный бюджет.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</w:t>
            </w: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средств 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D22B56" w:rsidRPr="00D22B56">
              <w:tc>
                <w:tcPr>
                  <w:tcW w:w="0" w:type="auto"/>
                  <w:gridSpan w:val="2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Оплата за 2016 год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99211021600050180414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2440000.00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992110216000R0180414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1047000.00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992110216000R0186414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1356000.00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4843000.00</w:t>
                  </w:r>
                </w:p>
              </w:tc>
            </w:tr>
            <w:tr w:rsidR="00D22B56" w:rsidRPr="00D22B56">
              <w:tc>
                <w:tcPr>
                  <w:tcW w:w="0" w:type="auto"/>
                  <w:gridSpan w:val="2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4843000.00</w:t>
                  </w:r>
                </w:p>
              </w:tc>
            </w:tr>
          </w:tbl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Динской р-н,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Старомышастовская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ст-ца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соответствии с Разделом 2 «Описание объекта закупки» аукционной документации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исполнения контракта: год 2016 месяц Декабрь Срок исполнения отдельных этапов контракта: С момента заключения контракта до полного его исполнения Периодичность поставки товаров (выполнения работ, оказания услуг): С момента заключения контракта до полного его исполнения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22B56" w:rsidRPr="00D22B56" w:rsidTr="00D22B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4"/>
              <w:gridCol w:w="1316"/>
              <w:gridCol w:w="1505"/>
              <w:gridCol w:w="1120"/>
              <w:gridCol w:w="1324"/>
              <w:gridCol w:w="1096"/>
            </w:tblGrid>
            <w:tr w:rsidR="00D22B56" w:rsidRPr="00D22B56">
              <w:tc>
                <w:tcPr>
                  <w:tcW w:w="0" w:type="auto"/>
                  <w:gridSpan w:val="6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22B56" w:rsidRPr="00D22B56"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Строительство спортивно-игровой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42.99.12.110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4843000.00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4843000.00</w:t>
                  </w:r>
                </w:p>
              </w:tc>
            </w:tr>
            <w:tr w:rsidR="00D22B56" w:rsidRPr="00D22B56">
              <w:tc>
                <w:tcPr>
                  <w:tcW w:w="0" w:type="auto"/>
                  <w:gridSpan w:val="6"/>
                  <w:vAlign w:val="center"/>
                  <w:hideMark/>
                </w:tcPr>
                <w:p w:rsidR="00D22B56" w:rsidRPr="00D22B56" w:rsidRDefault="00D22B56" w:rsidP="00D22B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22B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4843000.00</w:t>
                  </w:r>
                </w:p>
              </w:tc>
            </w:tr>
          </w:tbl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ст. 55.8. 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Градостроительного кодекса Российской Федерации участники закупки должны иметь выданное </w:t>
            </w:r>
            <w:proofErr w:type="spell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саморегулируемой</w:t>
            </w:r>
            <w:proofErr w:type="spell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организацией свидетельство о допуске к определенному виду работ или видам работ, которые оказывают влияние на безопасность объектов капитального строительства и включены в Перечень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утвержденный Приказом</w:t>
            </w:r>
            <w:proofErr w:type="gram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Министерства регионального развития РФ от 30 декабря 2009 г. № 624. При этом в соответствии с 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3.1. ст. 52 Градостроительного кодекса Российской Федерации обязательным условием является наличие в таком </w:t>
            </w: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свидетельстве допуска к следующему виду работ: «33.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 33.3. Жилищно-гражданское строительство» 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Участниками закупки могут быть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48340.00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4 «Порядок предоставления обеспечения заявок на участие в электронном аукционе»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40302810203493000222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05183022840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242150.00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Разделу 5 «Срок и порядок предоставления обеспечения исполнения контракта»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40302810203493000222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05183022840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22B56" w:rsidRPr="00D22B56" w:rsidTr="00D22B56">
        <w:tc>
          <w:tcPr>
            <w:tcW w:w="0" w:type="auto"/>
            <w:gridSpan w:val="2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</w:t>
            </w: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процентов</w:t>
            </w:r>
            <w:proofErr w:type="gramEnd"/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Проект (4)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Проект (9)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(10)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Проект (11)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Проект (12)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Проект (13)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Проект (14)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Проект (15)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Проект (16)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Проект (17)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Проект (18)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Проект (19)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Проект (20)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Проект (21)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 Проект (22)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 Проект (23)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Проект (24)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Проект (25)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 Проект (26)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Проект (27)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 Проект (28)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 Проект (29)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 Проект (30)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 Проект (31)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 Проект (32)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 Проект (33)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 Документация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 Проект (1)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 Проект (2)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 Проект (3)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 Проект (5)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 Проект (6)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 Проект (7)</w:t>
            </w:r>
          </w:p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 Проект (8)</w:t>
            </w:r>
          </w:p>
        </w:tc>
      </w:tr>
      <w:tr w:rsidR="00D22B56" w:rsidRPr="00D22B56" w:rsidTr="00D22B56"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22B56" w:rsidRPr="00D22B56" w:rsidRDefault="00D22B56" w:rsidP="00D22B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22B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09.09.2016 09:39</w:t>
            </w:r>
          </w:p>
        </w:tc>
      </w:tr>
    </w:tbl>
    <w:p w:rsidR="00DC4F9D" w:rsidRPr="00D22B56" w:rsidRDefault="00DC4F9D" w:rsidP="00D22B56"/>
    <w:sectPr w:rsidR="00DC4F9D" w:rsidRPr="00D22B56" w:rsidSect="00D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CF9"/>
    <w:rsid w:val="00C11796"/>
    <w:rsid w:val="00D10CF9"/>
    <w:rsid w:val="00D22B56"/>
    <w:rsid w:val="00DC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7011">
          <w:marLeft w:val="0"/>
          <w:marRight w:val="0"/>
          <w:marTop w:val="15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109">
          <w:marLeft w:val="0"/>
          <w:marRight w:val="0"/>
          <w:marTop w:val="11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6789</Characters>
  <Application>Microsoft Office Word</Application>
  <DocSecurity>0</DocSecurity>
  <Lines>56</Lines>
  <Paragraphs>15</Paragraphs>
  <ScaleCrop>false</ScaleCrop>
  <Company>Microsoft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Gos-Zakupki</dc:creator>
  <cp:lastModifiedBy>Gos-Zakupki</cp:lastModifiedBy>
  <cp:revision>2</cp:revision>
  <dcterms:created xsi:type="dcterms:W3CDTF">2017-01-12T11:27:00Z</dcterms:created>
  <dcterms:modified xsi:type="dcterms:W3CDTF">2017-01-12T11:27:00Z</dcterms:modified>
</cp:coreProperties>
</file>